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6745C604" w:rsidRDefault="00D40EC6" w14:paraId="480C6D91" wp14:textId="01565F89">
      <w:pPr>
        <w:pStyle w:val="Normal"/>
      </w:pPr>
      <w:r w:rsidR="49B65433">
        <w:rPr/>
        <w:t xml:space="preserve">                   </w:t>
      </w:r>
      <w:r w:rsidR="49B65433">
        <w:drawing>
          <wp:inline xmlns:wp14="http://schemas.microsoft.com/office/word/2010/wordprocessingDrawing" wp14:editId="30BA83EE" wp14:anchorId="398D0699">
            <wp:extent cx="4572000" cy="1095375"/>
            <wp:effectExtent l="0" t="0" r="0" b="0"/>
            <wp:docPr id="16010441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1ab09f39754c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091A0314" w:rsidRDefault="00D40EC6" w14:paraId="5BDB74AE" wp14:textId="3C5A24F4">
      <w:pPr>
        <w:pStyle w:val="Title"/>
        <w:jc w:val="center"/>
      </w:pPr>
      <w:r w:rsidR="00D40EC6">
        <w:rPr/>
        <w:t>STEPS Personal Health &amp; Wellness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xmlns:wp14="http://schemas.microsoft.com/office/word/2010/wordml" w:rsidR="0056330B" w:rsidTr="25E93934" w14:paraId="3D6AD339" wp14:textId="77777777">
        <w:tc>
          <w:tcPr>
            <w:tcW w:w="1712" w:type="dxa"/>
            <w:tcMar/>
          </w:tcPr>
          <w:p w:rsidR="0056330B" w:rsidP="25E93934" w:rsidRDefault="00D40EC6" w14:paraId="5C4879D2" wp14:textId="77777777">
            <w:pPr>
              <w:pStyle w:val="FormHeading"/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</w:pPr>
            <w:r w:rsidRPr="25E93934" w:rsidR="00D40EC6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Location:</w:t>
            </w:r>
          </w:p>
        </w:tc>
        <w:tc>
          <w:tcPr>
            <w:tcW w:w="8368" w:type="dxa"/>
            <w:tcMar/>
          </w:tcPr>
          <w:p w:rsidR="0056330B" w:rsidP="25E93934" w:rsidRDefault="00D40EC6" w14:paraId="65E16445" wp14:textId="79331248">
            <w:pPr>
              <w:pStyle w:val="TableTex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E93934" w:rsidR="2F917612">
              <w:rPr>
                <w:rFonts w:ascii="Arial Nova" w:hAnsi="Arial Nova" w:eastAsia="Arial Nova" w:cs="Arial Nova"/>
                <w:sz w:val="24"/>
                <w:szCs w:val="24"/>
              </w:rPr>
              <w:t>STEPS Office and by Zoom</w:t>
            </w:r>
          </w:p>
        </w:tc>
      </w:tr>
      <w:tr xmlns:wp14="http://schemas.microsoft.com/office/word/2010/wordml" w:rsidR="0056330B" w:rsidTr="25E93934" w14:paraId="5B5FF667" wp14:textId="77777777">
        <w:tc>
          <w:tcPr>
            <w:tcW w:w="1712" w:type="dxa"/>
            <w:tcMar/>
          </w:tcPr>
          <w:p w:rsidR="0056330B" w:rsidP="25E93934" w:rsidRDefault="00D40EC6" w14:paraId="3101716D" wp14:textId="77777777">
            <w:pPr>
              <w:pStyle w:val="FormHeading"/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</w:pPr>
            <w:r w:rsidRPr="25E93934" w:rsidR="00D40EC6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Date:</w:t>
            </w:r>
          </w:p>
        </w:tc>
        <w:tc>
          <w:tcPr>
            <w:tcW w:w="8368" w:type="dxa"/>
            <w:tcMar/>
          </w:tcPr>
          <w:p w:rsidR="0056330B" w:rsidP="25E93934" w:rsidRDefault="00D40EC6" w14:paraId="52EDB151" wp14:textId="0CFA5780">
            <w:pPr>
              <w:pStyle w:val="TableTex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E93934" w:rsidR="2C1E9AB9">
              <w:rPr>
                <w:rFonts w:ascii="Arial Nova" w:hAnsi="Arial Nova" w:eastAsia="Arial Nova" w:cs="Arial Nova"/>
                <w:sz w:val="24"/>
                <w:szCs w:val="24"/>
              </w:rPr>
              <w:t>July 10, 2023</w:t>
            </w:r>
          </w:p>
        </w:tc>
      </w:tr>
      <w:tr xmlns:wp14="http://schemas.microsoft.com/office/word/2010/wordml" w:rsidR="0056330B" w:rsidTr="25E93934" w14:paraId="327B9C44" wp14:textId="77777777">
        <w:tc>
          <w:tcPr>
            <w:tcW w:w="1712" w:type="dxa"/>
            <w:tcMar/>
          </w:tcPr>
          <w:p w:rsidR="0056330B" w:rsidP="25E93934" w:rsidRDefault="00D40EC6" w14:paraId="5DFB5DF1" wp14:textId="77777777">
            <w:pPr>
              <w:pStyle w:val="FormHeading"/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</w:pPr>
            <w:r w:rsidRPr="25E93934" w:rsidR="00D40EC6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Time:</w:t>
            </w:r>
          </w:p>
        </w:tc>
        <w:tc>
          <w:tcPr>
            <w:tcW w:w="8368" w:type="dxa"/>
            <w:tcMar/>
          </w:tcPr>
          <w:p w:rsidR="0056330B" w:rsidP="25E93934" w:rsidRDefault="00D40EC6" w14:paraId="62C15E3B" wp14:textId="6104D5DE">
            <w:pPr>
              <w:pStyle w:val="TableTex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E93934" w:rsidR="61A55555">
              <w:rPr>
                <w:rFonts w:ascii="Arial Nova" w:hAnsi="Arial Nova" w:eastAsia="Arial Nova" w:cs="Arial Nova"/>
                <w:sz w:val="24"/>
                <w:szCs w:val="24"/>
              </w:rPr>
              <w:t>10:30 am</w:t>
            </w:r>
          </w:p>
        </w:tc>
      </w:tr>
      <w:tr xmlns:wp14="http://schemas.microsoft.com/office/word/2010/wordml" w:rsidR="0056330B" w:rsidTr="25E93934" w14:paraId="4047CCEC" wp14:textId="77777777">
        <w:tc>
          <w:tcPr>
            <w:tcW w:w="1712" w:type="dxa"/>
            <w:tcMar/>
          </w:tcPr>
          <w:p w:rsidR="0056330B" w:rsidP="25E93934" w:rsidRDefault="00D40EC6" w14:paraId="516F0370" wp14:textId="3A15BA83">
            <w:pPr>
              <w:pStyle w:val="FormHeading"/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</w:pPr>
            <w:r w:rsidRPr="25E93934" w:rsidR="00D40EC6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Attendees</w:t>
            </w:r>
            <w:r w:rsidRPr="25E93934" w:rsidR="09B2BBFC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, with self-intros</w:t>
            </w:r>
            <w:r w:rsidRPr="25E93934" w:rsidR="00D40EC6">
              <w:rPr>
                <w:rFonts w:ascii="Arial Nova" w:hAnsi="Arial Nova" w:eastAsia="Arial Nova" w:cs="Arial Nova"/>
                <w:color w:val="794000" w:themeColor="accent1" w:themeTint="FF" w:themeShade="80"/>
                <w:sz w:val="28"/>
                <w:szCs w:val="28"/>
              </w:rPr>
              <w:t>:</w:t>
            </w:r>
          </w:p>
        </w:tc>
        <w:tc>
          <w:tcPr>
            <w:tcW w:w="8368" w:type="dxa"/>
            <w:tcMar/>
          </w:tcPr>
          <w:p w:rsidR="0056330B" w:rsidP="25E93934" w:rsidRDefault="00D40EC6" w14:paraId="53192A88" wp14:textId="6C26FEC1">
            <w:pPr>
              <w:pStyle w:val="TableText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25E93934" w:rsidR="3BB37A30">
              <w:rPr>
                <w:rFonts w:ascii="Arial Nova" w:hAnsi="Arial Nova" w:eastAsia="Arial Nova" w:cs="Arial Nova"/>
                <w:sz w:val="24"/>
                <w:szCs w:val="24"/>
              </w:rPr>
              <w:t xml:space="preserve">Phyllis </w:t>
            </w:r>
            <w:r w:rsidRPr="25E93934" w:rsidR="3BB37A30">
              <w:rPr>
                <w:rFonts w:ascii="Arial Nova" w:hAnsi="Arial Nova" w:eastAsia="Arial Nova" w:cs="Arial Nova"/>
                <w:sz w:val="24"/>
                <w:szCs w:val="24"/>
              </w:rPr>
              <w:t>Motill</w:t>
            </w:r>
            <w:r w:rsidRPr="25E93934" w:rsidR="3BB37A30">
              <w:rPr>
                <w:rFonts w:ascii="Arial Nova" w:hAnsi="Arial Nova" w:eastAsia="Arial Nova" w:cs="Arial Nova"/>
                <w:sz w:val="24"/>
                <w:szCs w:val="24"/>
              </w:rPr>
              <w:t xml:space="preserve"> (Chair), Magnolia Ariza-Nieto, Claudia Ariza, Doris DePew, Theresa Lahr, Jan Quarles. By Zoom: Sara Flack (CHSC Dir</w:t>
            </w:r>
            <w:r w:rsidRPr="25E93934" w:rsidR="6BFD276A">
              <w:rPr>
                <w:rFonts w:ascii="Arial Nova" w:hAnsi="Arial Nova" w:eastAsia="Arial Nova" w:cs="Arial Nova"/>
                <w:sz w:val="24"/>
                <w:szCs w:val="24"/>
              </w:rPr>
              <w:t xml:space="preserve">.), Kelly Kaufman (CAP), Natalia Nelson (FLX Community Health). </w:t>
            </w:r>
            <w:r w:rsidRPr="25E93934" w:rsidR="3BB37A30">
              <w:rPr>
                <w:rFonts w:ascii="Arial Nova" w:hAnsi="Arial Nova" w:eastAsia="Arial Nova" w:cs="Arial Nova"/>
                <w:sz w:val="24"/>
                <w:szCs w:val="24"/>
              </w:rPr>
              <w:t xml:space="preserve"> </w:t>
            </w:r>
          </w:p>
        </w:tc>
      </w:tr>
    </w:tbl>
    <w:p w:rsidR="0F794691" w:rsidP="25E93934" w:rsidRDefault="0F794691" w14:paraId="367F32A8" w14:textId="3EAE2660">
      <w:pPr>
        <w:rPr>
          <w:rFonts w:ascii="Arial Nova" w:hAnsi="Arial Nova" w:eastAsia="Arial Nova" w:cs="Arial Nova"/>
          <w:sz w:val="28"/>
          <w:szCs w:val="28"/>
        </w:rPr>
      </w:pPr>
      <w:r w:rsidRPr="25E93934" w:rsidR="0F794691"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  <w:t>Presentation</w:t>
      </w:r>
      <w:r w:rsidRPr="25E93934" w:rsidR="50C62845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0F794691" w:rsidP="25E93934" w:rsidRDefault="0F794691" w14:paraId="3051226D" w14:textId="2499DFC1">
      <w:pPr>
        <w:rPr>
          <w:rFonts w:ascii="Arial Nova" w:hAnsi="Arial Nova" w:eastAsia="Arial Nova" w:cs="Arial Nova"/>
          <w:sz w:val="24"/>
          <w:szCs w:val="24"/>
        </w:rPr>
      </w:pPr>
      <w:r w:rsidRPr="2F020457" w:rsidR="0F794691">
        <w:rPr>
          <w:rFonts w:ascii="Arial Nova" w:hAnsi="Arial Nova" w:eastAsia="Arial Nova" w:cs="Arial Nova"/>
          <w:sz w:val="24"/>
          <w:szCs w:val="24"/>
        </w:rPr>
        <w:t xml:space="preserve">Magnolia Ariza-Nieto </w:t>
      </w:r>
      <w:r w:rsidRPr="2F020457" w:rsidR="0C3EDED2">
        <w:rPr>
          <w:rFonts w:ascii="Arial Nova" w:hAnsi="Arial Nova" w:eastAsia="Arial Nova" w:cs="Arial Nova"/>
          <w:sz w:val="24"/>
          <w:szCs w:val="24"/>
        </w:rPr>
        <w:t xml:space="preserve">introduced us to the CDC National Diabetes Prevention Program. </w:t>
      </w:r>
      <w:r w:rsidRPr="2F020457" w:rsidR="44C666AB">
        <w:rPr>
          <w:rFonts w:ascii="Arial Nova" w:hAnsi="Arial Nova" w:eastAsia="Arial Nova" w:cs="Arial Nova"/>
          <w:sz w:val="24"/>
          <w:szCs w:val="24"/>
        </w:rPr>
        <w:t xml:space="preserve">She </w:t>
      </w:r>
      <w:r w:rsidRPr="2F020457" w:rsidR="44C666AB">
        <w:rPr>
          <w:rFonts w:ascii="Arial Nova" w:hAnsi="Arial Nova" w:eastAsia="Arial Nova" w:cs="Arial Nova"/>
          <w:sz w:val="24"/>
          <w:szCs w:val="24"/>
        </w:rPr>
        <w:t>stated</w:t>
      </w:r>
      <w:r w:rsidRPr="2F020457" w:rsidR="44C666AB">
        <w:rPr>
          <w:rFonts w:ascii="Arial Nova" w:hAnsi="Arial Nova" w:eastAsia="Arial Nova" w:cs="Arial Nova"/>
          <w:sz w:val="24"/>
          <w:szCs w:val="24"/>
        </w:rPr>
        <w:t xml:space="preserve"> that </w:t>
      </w:r>
      <w:r w:rsidRPr="2F020457" w:rsidR="0C3EDED2">
        <w:rPr>
          <w:rFonts w:ascii="Arial Nova" w:hAnsi="Arial Nova" w:eastAsia="Arial Nova" w:cs="Arial Nova"/>
          <w:sz w:val="24"/>
          <w:szCs w:val="24"/>
        </w:rPr>
        <w:t xml:space="preserve">8 out of 10 </w:t>
      </w:r>
      <w:r w:rsidRPr="2F020457" w:rsidR="0C3EDED2">
        <w:rPr>
          <w:rFonts w:ascii="Arial Nova" w:hAnsi="Arial Nova" w:eastAsia="Arial Nova" w:cs="Arial Nova"/>
          <w:sz w:val="24"/>
          <w:szCs w:val="24"/>
        </w:rPr>
        <w:t>don’t</w:t>
      </w:r>
      <w:r w:rsidRPr="2F020457" w:rsidR="0C3EDED2">
        <w:rPr>
          <w:rFonts w:ascii="Arial Nova" w:hAnsi="Arial Nova" w:eastAsia="Arial Nova" w:cs="Arial Nova"/>
          <w:sz w:val="24"/>
          <w:szCs w:val="24"/>
        </w:rPr>
        <w:t xml:space="preserve"> know they have</w:t>
      </w:r>
      <w:r w:rsidRPr="2F020457" w:rsidR="7B067AB5">
        <w:rPr>
          <w:rFonts w:ascii="Arial Nova" w:hAnsi="Arial Nova" w:eastAsia="Arial Nova" w:cs="Arial Nova"/>
          <w:sz w:val="24"/>
          <w:szCs w:val="24"/>
        </w:rPr>
        <w:t xml:space="preserve"> </w:t>
      </w:r>
      <w:r w:rsidRPr="2F020457" w:rsidR="4B86B525">
        <w:rPr>
          <w:rFonts w:ascii="Arial Nova" w:hAnsi="Arial Nova" w:eastAsia="Arial Nova" w:cs="Arial Nova"/>
          <w:sz w:val="24"/>
          <w:szCs w:val="24"/>
        </w:rPr>
        <w:t>pre-Diabetes</w:t>
      </w:r>
      <w:r w:rsidRPr="2F020457" w:rsidR="0C3EDED2">
        <w:rPr>
          <w:rFonts w:ascii="Arial Nova" w:hAnsi="Arial Nova" w:eastAsia="Arial Nova" w:cs="Arial Nova"/>
          <w:sz w:val="24"/>
          <w:szCs w:val="24"/>
        </w:rPr>
        <w:t xml:space="preserve">. </w:t>
      </w:r>
      <w:r w:rsidRPr="2F020457" w:rsidR="45015FC1">
        <w:rPr>
          <w:rFonts w:ascii="Arial Nova" w:hAnsi="Arial Nova" w:eastAsia="Arial Nova" w:cs="Arial Nova"/>
          <w:sz w:val="24"/>
          <w:szCs w:val="24"/>
        </w:rPr>
        <w:t>She asked how to reach people. Jan will include in the next STEPS E-News th</w:t>
      </w:r>
      <w:r w:rsidRPr="2F020457" w:rsidR="775D4A4C">
        <w:rPr>
          <w:rFonts w:ascii="Arial Nova" w:hAnsi="Arial Nova" w:eastAsia="Arial Nova" w:cs="Arial Nova"/>
          <w:sz w:val="24"/>
          <w:szCs w:val="24"/>
        </w:rPr>
        <w:t xml:space="preserve">e </w:t>
      </w:r>
      <w:r w:rsidRPr="2F020457" w:rsidR="45015FC1">
        <w:rPr>
          <w:rFonts w:ascii="Arial Nova" w:hAnsi="Arial Nova" w:eastAsia="Arial Nova" w:cs="Arial Nova"/>
          <w:sz w:val="24"/>
          <w:szCs w:val="24"/>
        </w:rPr>
        <w:t>CDC’</w:t>
      </w:r>
      <w:r w:rsidRPr="2F020457" w:rsidR="45015FC1">
        <w:rPr>
          <w:rFonts w:ascii="Arial Nova" w:hAnsi="Arial Nova" w:eastAsia="Arial Nova" w:cs="Arial Nova"/>
          <w:sz w:val="24"/>
          <w:szCs w:val="24"/>
        </w:rPr>
        <w:t>s link for a quick online test.</w:t>
      </w:r>
      <w:r w:rsidRPr="2F020457" w:rsidR="191F2CA9">
        <w:rPr>
          <w:rFonts w:ascii="Arial Nova" w:hAnsi="Arial Nova" w:eastAsia="Arial Nova" w:cs="Arial Nova"/>
          <w:sz w:val="24"/>
          <w:szCs w:val="24"/>
        </w:rPr>
        <w:t xml:space="preserve"> </w:t>
      </w:r>
      <w:r w:rsidRPr="2F020457" w:rsidR="191F2CA9">
        <w:rPr>
          <w:rFonts w:ascii="Arial Nova" w:hAnsi="Arial Nova" w:eastAsia="Arial Nova" w:cs="Arial Nova"/>
          <w:sz w:val="24"/>
          <w:szCs w:val="24"/>
        </w:rPr>
        <w:t>Phyllis suggested she start with the 3 libraries, as well as Seneca County DOH and Office for the Aging</w:t>
      </w:r>
      <w:r w:rsidRPr="2F020457" w:rsidR="191F2CA9">
        <w:rPr>
          <w:rFonts w:ascii="Arial Nova" w:hAnsi="Arial Nova" w:eastAsia="Arial Nova" w:cs="Arial Nova"/>
          <w:sz w:val="24"/>
          <w:szCs w:val="24"/>
        </w:rPr>
        <w:t>.</w:t>
      </w:r>
      <w:r w:rsidRPr="2F020457" w:rsidR="191F2CA9">
        <w:rPr>
          <w:rFonts w:ascii="Arial Nova" w:hAnsi="Arial Nova" w:eastAsia="Arial Nova" w:cs="Arial Nova"/>
          <w:sz w:val="24"/>
          <w:szCs w:val="24"/>
        </w:rPr>
        <w:t xml:space="preserve"> </w:t>
      </w:r>
      <w:r w:rsidRPr="2F020457" w:rsidR="45015FC1">
        <w:rPr>
          <w:rFonts w:ascii="Arial Nova" w:hAnsi="Arial Nova" w:eastAsia="Arial Nova" w:cs="Arial Nova"/>
          <w:sz w:val="24"/>
          <w:szCs w:val="24"/>
        </w:rPr>
        <w:t xml:space="preserve"> </w:t>
      </w:r>
    </w:p>
    <w:p w:rsidR="6F41B231" w:rsidP="25E93934" w:rsidRDefault="6F41B231" w14:paraId="3A610CB7" w14:textId="4F3F9C13">
      <w:pPr>
        <w:pStyle w:val="Normal"/>
        <w:rPr>
          <w:rFonts w:ascii="Arial Nova" w:hAnsi="Arial Nova" w:eastAsia="Arial Nova" w:cs="Arial Nova"/>
          <w:b w:val="0"/>
          <w:bCs w:val="0"/>
          <w:color w:val="760046" w:themeColor="accent5" w:themeTint="FF" w:themeShade="80"/>
          <w:sz w:val="28"/>
          <w:szCs w:val="28"/>
        </w:rPr>
      </w:pPr>
      <w:r w:rsidRPr="25E93934" w:rsidR="6F41B231">
        <w:rPr>
          <w:rFonts w:ascii="Arial Nova" w:hAnsi="Arial Nova" w:eastAsia="Arial Nova" w:cs="Arial Nova"/>
          <w:b w:val="0"/>
          <w:bCs w:val="0"/>
          <w:color w:val="760046" w:themeColor="accent5" w:themeTint="FF" w:themeShade="80"/>
          <w:sz w:val="28"/>
          <w:szCs w:val="28"/>
        </w:rPr>
        <w:t>Reviews of STEP</w:t>
      </w:r>
      <w:r w:rsidRPr="25E93934" w:rsidR="0EA92E2E">
        <w:rPr>
          <w:rFonts w:ascii="Arial Nova" w:hAnsi="Arial Nova" w:eastAsia="Arial Nova" w:cs="Arial Nova"/>
          <w:b w:val="0"/>
          <w:bCs w:val="0"/>
          <w:color w:val="760046" w:themeColor="accent5" w:themeTint="FF" w:themeShade="80"/>
          <w:sz w:val="28"/>
          <w:szCs w:val="28"/>
        </w:rPr>
        <w:t xml:space="preserve">S Recent </w:t>
      </w:r>
      <w:r w:rsidRPr="25E93934" w:rsidR="041C3DFB">
        <w:rPr>
          <w:rFonts w:ascii="Arial Nova" w:hAnsi="Arial Nova" w:eastAsia="Arial Nova" w:cs="Arial Nova"/>
          <w:b w:val="0"/>
          <w:bCs w:val="0"/>
          <w:color w:val="760046" w:themeColor="accent5" w:themeTint="FF" w:themeShade="80"/>
          <w:sz w:val="28"/>
          <w:szCs w:val="28"/>
        </w:rPr>
        <w:t>Events</w:t>
      </w:r>
    </w:p>
    <w:p w:rsidR="2725E1A4" w:rsidP="25E93934" w:rsidRDefault="2725E1A4" w14:paraId="7C5796BF" w14:textId="30916D78">
      <w:pPr>
        <w:pStyle w:val="Normal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2725E1A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STEPS tabled at all </w:t>
      </w:r>
      <w:r w:rsidRPr="25E93934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3 Festivals in June</w:t>
      </w:r>
      <w:r w:rsidRPr="25E93934" w:rsidR="39D572AE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which were very well attended.</w:t>
      </w:r>
      <w:r w:rsidRPr="25E93934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25E93934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The basketball hoops in Interlaken</w:t>
      </w:r>
      <w:r w:rsidRPr="25E93934" w:rsidR="2F56BB9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a</w:t>
      </w:r>
      <w:r w:rsidRPr="25E93934" w:rsidR="669946A7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nd our </w:t>
      </w:r>
      <w:r w:rsidRPr="25E93934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Wellness Corner in Ovid</w:t>
      </w:r>
      <w:r w:rsidRPr="25E93934" w:rsidR="7416F1ED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were popular. Lodi Fest’s logistics will improve.</w:t>
      </w:r>
    </w:p>
    <w:p w:rsidR="500448FC" w:rsidP="25E93934" w:rsidRDefault="500448FC" w14:paraId="0E4A0C1E" w14:textId="4C31D03F">
      <w:pPr>
        <w:pStyle w:val="Normal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5ED78C59" w:rsidR="500448F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On 6/22, 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Pivital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via Excellus </w:t>
      </w:r>
      <w:r w:rsidRPr="5ED78C59" w:rsidR="3921D9A2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Grant 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sponsored Judy 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Mellgard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5ED78C59" w:rsidR="785BB169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to co-train Mental</w:t>
      </w:r>
      <w:r w:rsidRPr="5ED78C59" w:rsidR="6F41B23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Health First Aid</w:t>
      </w:r>
      <w:r w:rsidRPr="5ED78C59" w:rsidR="1AA5D2F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.</w:t>
      </w:r>
    </w:p>
    <w:p w:rsidR="466A5395" w:rsidP="25E93934" w:rsidRDefault="466A5395" w14:paraId="1CDBD0DA" w14:textId="2EDC1333">
      <w:pPr>
        <w:pStyle w:val="Normal"/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</w:pPr>
      <w:r w:rsidRPr="25E93934" w:rsidR="466A5395"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  <w:t>Reports of Ongoing STEPS Activities</w:t>
      </w:r>
    </w:p>
    <w:p w:rsidR="466A5395" w:rsidP="25E93934" w:rsidRDefault="466A5395" w14:paraId="2E6330F5" w14:textId="751D577A">
      <w:pPr>
        <w:pStyle w:val="Normal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466A539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“Yoga in the Parks,” an RHPP, continues until 8/08, with an average of 6 attending. </w:t>
      </w:r>
    </w:p>
    <w:p w:rsidR="466A5395" w:rsidP="25E93934" w:rsidRDefault="466A5395" w14:paraId="59150035" w14:textId="40D20812">
      <w:pPr>
        <w:pStyle w:val="Normal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466A539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“Girl Scouts Garden,” an RHPP, continues to develop in the Ovid Federated Church yard.</w:t>
      </w:r>
    </w:p>
    <w:p w:rsidR="72F212F8" w:rsidP="25E93934" w:rsidRDefault="72F212F8" w14:paraId="70F575CC" w14:textId="1B82FFA6">
      <w:pPr>
        <w:pStyle w:val="Normal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72F212F8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Janet Lynch oversees Walk ‘n Talk every Tuesday, 6 pm, at SS HS track. </w:t>
      </w:r>
    </w:p>
    <w:p w:rsidR="34C326CF" w:rsidP="25E93934" w:rsidRDefault="34C326CF" w14:paraId="09C4739B" w14:textId="65081577">
      <w:pPr>
        <w:pStyle w:val="Normal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34C326C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“A Park for All Ages” in Interlaken: A survey was done at Interlaken Olde Home Days on 6/10. </w:t>
      </w:r>
      <w:r w:rsidRPr="25E93934" w:rsidR="46E77CFB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The p</w:t>
      </w:r>
      <w:r w:rsidRPr="25E93934" w:rsidR="34C326C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lanners (Mayor Richardson, Tony Del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Plato, Janice Conrad, Jae Darling, &amp; </w:t>
      </w:r>
      <w:r w:rsidRPr="25E93934" w:rsidR="4C19871D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Theresa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Lahr) will </w:t>
      </w:r>
      <w:r w:rsidRPr="25E93934" w:rsidR="26236C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meet again at STEPS office on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7/11. </w:t>
      </w:r>
    </w:p>
    <w:p w:rsidR="3188BF10" w:rsidP="25E93934" w:rsidRDefault="3188BF10" w14:paraId="4669ABDF" w14:textId="2E71B626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</w:pPr>
      <w:r w:rsidRPr="25E93934" w:rsidR="3188BF10"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  <w:t>Planning Upcoming Events</w:t>
      </w:r>
    </w:p>
    <w:p w:rsidR="3188BF10" w:rsidP="25E93934" w:rsidRDefault="3188BF10" w14:paraId="2F11E24F" w14:textId="7D4937C4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Mon, July 17 (6:30-8:00 pm) RISERS Quarterly Gathering, Ovid Firehouse. Deb Puntenney will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facilitate</w:t>
      </w:r>
      <w:r w:rsidRPr="25E93934" w:rsidR="1542A32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. </w:t>
      </w:r>
      <w:r w:rsidRPr="25E93934" w:rsidR="1542A32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We’ll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review</w:t>
      </w:r>
      <w:r w:rsidRPr="25E93934" w:rsidR="7F25CBC8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all </w:t>
      </w:r>
      <w:r w:rsidRPr="25E93934" w:rsidR="002D5103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that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STEPS</w:t>
      </w:r>
      <w:r w:rsidRPr="25E93934" w:rsidR="26322E71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– with the community’s help --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ha</w:t>
      </w:r>
      <w:r w:rsidRPr="25E93934" w:rsidR="5C3F0A88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s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a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ccomplished</w:t>
      </w:r>
      <w:r w:rsidRPr="25E93934" w:rsidR="3188BF1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in the past decade</w:t>
      </w:r>
      <w:r w:rsidRPr="25E93934" w:rsidR="22898ECD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and </w:t>
      </w:r>
      <w:r w:rsidRPr="25E93934" w:rsidR="1F67BE1E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solicit</w:t>
      </w:r>
      <w:r w:rsidRPr="25E93934" w:rsidR="1F67BE1E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25E93934" w:rsidR="22898ECD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residents’ ideas</w:t>
      </w:r>
      <w:r w:rsidRPr="25E93934" w:rsidR="4CDBEBFB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on moving</w:t>
      </w:r>
      <w:r w:rsidRPr="25E93934" w:rsidR="22898ECD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forward beyond Phase V when our primary funding ends. Taco Bar courtesy Deb Bush. </w:t>
      </w:r>
    </w:p>
    <w:p w:rsidR="5AF7FD19" w:rsidP="25E93934" w:rsidRDefault="5AF7FD19" w14:paraId="1CDD65FB" w14:textId="0705F2D3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5AF7FD19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Mon, August 14 (1:30-2:30 pm) KITCHEN TABLE community conversation at STEPS office. Linda Pacelli Dixon will lead this first one in her series of three on downsizing: “Cash in Your Closet: Your Kids Don’t Want Your China.” </w:t>
      </w:r>
    </w:p>
    <w:p w:rsidR="507A4204" w:rsidP="25E93934" w:rsidRDefault="507A4204" w14:paraId="6C94C795" w14:textId="509BE19E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507A420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Deb Bush is developing a fall event: Ryan’s Cases. No details yet. </w:t>
      </w:r>
    </w:p>
    <w:p w:rsidR="787A57DF" w:rsidP="25E93934" w:rsidRDefault="787A57DF" w14:paraId="31924BA6" w14:textId="251F8316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787A57D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Sat, Sept 16 (6-9pm) “Join in the Dance,” an RHPP. Contradance with live music, Brook Barn, 8228 </w:t>
      </w:r>
      <w:r w:rsidRPr="25E93934" w:rsidR="787A57D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Rte</w:t>
      </w:r>
      <w:r w:rsidRPr="25E93934" w:rsidR="787A57D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96, Interlaken. </w:t>
      </w:r>
    </w:p>
    <w:p w:rsidR="507A4204" w:rsidP="25E93934" w:rsidRDefault="507A4204" w14:paraId="13A2FC0F" w14:textId="73698BB3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  <w:r w:rsidRPr="25E93934" w:rsidR="507A420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Sat, Oct 14 (9am-1pm) Annual Day of Service. Phyllis suggested the churches be contacted. Judy </w:t>
      </w:r>
      <w:r w:rsidRPr="25E93934" w:rsidR="507A420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Mellgard</w:t>
      </w:r>
      <w:r w:rsidRPr="25E93934" w:rsidR="507A4204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agreed to do that. </w:t>
      </w:r>
      <w:r w:rsidRPr="25E93934" w:rsidR="68F6F57A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Send more ideas to Jan Quarles &lt;jquarles@pivitalphp.org&gt;.</w:t>
      </w:r>
    </w:p>
    <w:p w:rsidR="507A4204" w:rsidP="25E93934" w:rsidRDefault="507A4204" w14:paraId="51CCE78D" w14:textId="2372B6C7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</w:pPr>
      <w:r w:rsidRPr="25E93934" w:rsidR="507A4204"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  <w:t>Open Forum</w:t>
      </w:r>
    </w:p>
    <w:p w:rsidR="507A4204" w:rsidP="25E93934" w:rsidRDefault="507A4204" w14:paraId="33D89170" w14:textId="23470E5E">
      <w:pPr>
        <w:pStyle w:val="ListParagraph"/>
        <w:numPr>
          <w:ilvl w:val="0"/>
          <w:numId w:val="11"/>
        </w:numPr>
        <w:bidi w:val="0"/>
        <w:spacing w:before="0" w:beforeAutospacing="off" w:after="200" w:afterAutospacing="off" w:line="264" w:lineRule="auto"/>
        <w:ind w:right="0"/>
        <w:jc w:val="left"/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</w:pPr>
      <w:r w:rsidRPr="25E93934" w:rsidR="507A420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Public Input Open House at SS HS tonight (7/10) at SS HS – about future of Willard property. </w:t>
      </w:r>
    </w:p>
    <w:p w:rsidR="719DC873" w:rsidP="25E93934" w:rsidRDefault="719DC873" w14:paraId="725BC96A" w14:textId="6C63F3B0">
      <w:pPr>
        <w:pStyle w:val="ListParagraph"/>
        <w:numPr>
          <w:ilvl w:val="0"/>
          <w:numId w:val="11"/>
        </w:numPr>
        <w:bidi w:val="0"/>
        <w:spacing w:before="0" w:beforeAutospacing="off" w:after="200" w:afterAutospacing="off" w:line="264" w:lineRule="auto"/>
        <w:ind w:right="0"/>
        <w:jc w:val="left"/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</w:pPr>
      <w:r w:rsidRPr="25E93934" w:rsidR="719DC873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>Mobile Mammo Unit,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 this Thursday, 7/13 (12n-5p), Ovid Firehouse. </w:t>
      </w:r>
    </w:p>
    <w:p w:rsidR="01F26924" w:rsidP="25E93934" w:rsidRDefault="01F26924" w14:paraId="5DE001DE" w14:textId="1AC005C5">
      <w:pPr>
        <w:pStyle w:val="ListParagraph"/>
        <w:numPr>
          <w:ilvl w:val="0"/>
          <w:numId w:val="11"/>
        </w:numPr>
        <w:bidi w:val="0"/>
        <w:spacing w:before="0" w:beforeAutospacing="off" w:after="200" w:afterAutospacing="off" w:line="264" w:lineRule="auto"/>
        <w:ind w:right="0"/>
        <w:jc w:val="left"/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</w:pP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Alzheimer’s Association: 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>New support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 group for caregivers, Ovid Library, 4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  <w:vertAlign w:val="superscript"/>
        </w:rPr>
        <w:t>th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 Weds of the month, 5:45-6:45 pm.</w:t>
      </w:r>
    </w:p>
    <w:p w:rsidR="01F26924" w:rsidP="25E93934" w:rsidRDefault="01F26924" w14:paraId="5CD4BFA8" w14:textId="30A4A2A0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</w:pPr>
      <w:r w:rsidRPr="25E93934" w:rsidR="01F26924">
        <w:rPr>
          <w:rFonts w:ascii="Arial Nova" w:hAnsi="Arial Nova" w:eastAsia="Arial Nova" w:cs="Arial Nova"/>
          <w:color w:val="794000" w:themeColor="accent1" w:themeTint="FF" w:themeShade="80"/>
          <w:sz w:val="28"/>
          <w:szCs w:val="28"/>
        </w:rPr>
        <w:t>Next PH&amp;W Meeting</w:t>
      </w:r>
    </w:p>
    <w:p w:rsidR="01F26924" w:rsidP="25E93934" w:rsidRDefault="01F26924" w14:paraId="7A217BFF" w14:textId="2C57DE0F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</w:pP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>Monday, August 7, 10:30 am at STEPS office</w:t>
      </w:r>
      <w:r w:rsidRPr="25E93934" w:rsidR="6F5D8BDE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 xml:space="preserve"> or by Zoom. It will be </w:t>
      </w:r>
      <w:r w:rsidRPr="25E93934" w:rsidR="01F26924">
        <w:rPr>
          <w:rFonts w:ascii="Arial Nova" w:hAnsi="Arial Nova" w:eastAsia="Arial Nova" w:cs="Arial Nova"/>
          <w:color w:val="071F28" w:themeColor="text2" w:themeTint="FF" w:themeShade="FF"/>
          <w:sz w:val="24"/>
          <w:szCs w:val="24"/>
        </w:rPr>
        <w:t>Doris DePew’s birthday!</w:t>
      </w:r>
    </w:p>
    <w:p w:rsidR="25E93934" w:rsidP="25E93934" w:rsidRDefault="25E93934" w14:paraId="48CCCC67" w14:textId="13EB86F6">
      <w:pPr>
        <w:pStyle w:val="Normal"/>
        <w:rPr>
          <w:rFonts w:ascii="Arial Nova" w:hAnsi="Arial Nova" w:eastAsia="Arial Nova" w:cs="Arial Nova"/>
          <w:color w:val="760046" w:themeColor="accent5" w:themeTint="FF" w:themeShade="80"/>
          <w:sz w:val="24"/>
          <w:szCs w:val="24"/>
        </w:rPr>
      </w:pPr>
    </w:p>
    <w:p w:rsidR="25E93934" w:rsidP="25E93934" w:rsidRDefault="25E93934" w14:paraId="12FA1DBE" w14:textId="6293AC87">
      <w:pPr>
        <w:pStyle w:val="Normal"/>
        <w:rPr>
          <w:rFonts w:ascii="Arial Nova" w:hAnsi="Arial Nova" w:eastAsia="Arial Nova" w:cs="Arial Nova"/>
          <w:color w:val="760046" w:themeColor="accent5" w:themeTint="FF" w:themeShade="80"/>
          <w:sz w:val="24"/>
          <w:szCs w:val="24"/>
        </w:rPr>
      </w:pPr>
    </w:p>
    <w:p w:rsidR="25E93934" w:rsidP="25E93934" w:rsidRDefault="25E93934" w14:paraId="30A1F509" w14:textId="51CB7F5D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289f5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2D5103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D845A6"/>
    <w:rsid w:val="00E02BFF"/>
    <w:rsid w:val="00F44334"/>
    <w:rsid w:val="00F73961"/>
    <w:rsid w:val="00FC08A9"/>
    <w:rsid w:val="01918DEB"/>
    <w:rsid w:val="01997B71"/>
    <w:rsid w:val="01F26924"/>
    <w:rsid w:val="034686A9"/>
    <w:rsid w:val="041C3DFB"/>
    <w:rsid w:val="04D11C33"/>
    <w:rsid w:val="067E276B"/>
    <w:rsid w:val="0758C201"/>
    <w:rsid w:val="08CA2F2E"/>
    <w:rsid w:val="091A0314"/>
    <w:rsid w:val="0996A626"/>
    <w:rsid w:val="09B2BBFC"/>
    <w:rsid w:val="0B387031"/>
    <w:rsid w:val="0C3EDED2"/>
    <w:rsid w:val="0CD44092"/>
    <w:rsid w:val="0CDC2E18"/>
    <w:rsid w:val="0EA92E2E"/>
    <w:rsid w:val="0F794691"/>
    <w:rsid w:val="11C90406"/>
    <w:rsid w:val="1542A324"/>
    <w:rsid w:val="175DAAF4"/>
    <w:rsid w:val="18F18DCF"/>
    <w:rsid w:val="18F97B55"/>
    <w:rsid w:val="191F2CA9"/>
    <w:rsid w:val="1A8410DF"/>
    <w:rsid w:val="1AA5D2F5"/>
    <w:rsid w:val="1DC4FEF2"/>
    <w:rsid w:val="1F4F947C"/>
    <w:rsid w:val="1F67BE1E"/>
    <w:rsid w:val="2275FA67"/>
    <w:rsid w:val="22898ECD"/>
    <w:rsid w:val="256084DE"/>
    <w:rsid w:val="25E93934"/>
    <w:rsid w:val="26236C10"/>
    <w:rsid w:val="26322E71"/>
    <w:rsid w:val="2725E1A4"/>
    <w:rsid w:val="29482094"/>
    <w:rsid w:val="2A924723"/>
    <w:rsid w:val="2A9A34A9"/>
    <w:rsid w:val="2C1E9AB9"/>
    <w:rsid w:val="2C2E1784"/>
    <w:rsid w:val="2DC9E7E5"/>
    <w:rsid w:val="2DD1D56B"/>
    <w:rsid w:val="2DDB22BC"/>
    <w:rsid w:val="2F020457"/>
    <w:rsid w:val="2F56BB95"/>
    <w:rsid w:val="2F917612"/>
    <w:rsid w:val="3188BF10"/>
    <w:rsid w:val="34392969"/>
    <w:rsid w:val="34C326CF"/>
    <w:rsid w:val="3789F288"/>
    <w:rsid w:val="38B636F0"/>
    <w:rsid w:val="3921D9A2"/>
    <w:rsid w:val="39D572AE"/>
    <w:rsid w:val="3BB37A30"/>
    <w:rsid w:val="3C4C28D4"/>
    <w:rsid w:val="3EC293CB"/>
    <w:rsid w:val="42AA2F81"/>
    <w:rsid w:val="44C666AB"/>
    <w:rsid w:val="45015FC1"/>
    <w:rsid w:val="45431026"/>
    <w:rsid w:val="4662043B"/>
    <w:rsid w:val="466A5395"/>
    <w:rsid w:val="46E77CFB"/>
    <w:rsid w:val="49B65433"/>
    <w:rsid w:val="4B86B525"/>
    <w:rsid w:val="4B87EE76"/>
    <w:rsid w:val="4BA116D3"/>
    <w:rsid w:val="4C19871D"/>
    <w:rsid w:val="4CDBEBFB"/>
    <w:rsid w:val="4D4E220B"/>
    <w:rsid w:val="500448FC"/>
    <w:rsid w:val="505B5F99"/>
    <w:rsid w:val="507A4204"/>
    <w:rsid w:val="50C62845"/>
    <w:rsid w:val="523ABB8B"/>
    <w:rsid w:val="55ECC9CD"/>
    <w:rsid w:val="586E5F04"/>
    <w:rsid w:val="5AF7FD19"/>
    <w:rsid w:val="5C3F0A88"/>
    <w:rsid w:val="5D530AFE"/>
    <w:rsid w:val="5ED78C59"/>
    <w:rsid w:val="61A55555"/>
    <w:rsid w:val="6309043D"/>
    <w:rsid w:val="6312518E"/>
    <w:rsid w:val="64882BD1"/>
    <w:rsid w:val="6607D1F4"/>
    <w:rsid w:val="669946A7"/>
    <w:rsid w:val="6745C604"/>
    <w:rsid w:val="67E5C2B1"/>
    <w:rsid w:val="68F6F57A"/>
    <w:rsid w:val="6BD9A6BC"/>
    <w:rsid w:val="6BFD276A"/>
    <w:rsid w:val="6F378C51"/>
    <w:rsid w:val="6F41B231"/>
    <w:rsid w:val="6F5D8BDE"/>
    <w:rsid w:val="6FE78745"/>
    <w:rsid w:val="6FF0D496"/>
    <w:rsid w:val="719DC873"/>
    <w:rsid w:val="72F212F8"/>
    <w:rsid w:val="73287558"/>
    <w:rsid w:val="7416F1ED"/>
    <w:rsid w:val="763DA06C"/>
    <w:rsid w:val="775D4A4C"/>
    <w:rsid w:val="77F2992A"/>
    <w:rsid w:val="785BB169"/>
    <w:rsid w:val="787A57DF"/>
    <w:rsid w:val="7B067AB5"/>
    <w:rsid w:val="7CBE1CC7"/>
    <w:rsid w:val="7CC60A4D"/>
    <w:rsid w:val="7F25C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16CC2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2.png" Id="R951ab09f39754cf0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2023-07-18T16:20:48.7681876Z</dcterms:modified>
  <lastModifiedBy>Jan Quarles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